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74D5" w14:textId="77777777" w:rsidR="00175771" w:rsidRDefault="002B7EAF">
      <w:pPr>
        <w:jc w:val="center"/>
      </w:pPr>
      <w:bookmarkStart w:id="0" w:name="_GoBack"/>
      <w:bookmarkEnd w:id="0"/>
      <w:r>
        <w:rPr>
          <w:noProof/>
        </w:rPr>
        <w:drawing>
          <wp:anchor distT="0" distB="0" distL="114300" distR="114300" simplePos="0" relativeHeight="251658240" behindDoc="0" locked="0" layoutInCell="1" allowOverlap="0" wp14:anchorId="0C53704E" wp14:editId="780822F2">
            <wp:simplePos x="0" y="0"/>
            <wp:positionH relativeFrom="column">
              <wp:align>right</wp:align>
            </wp:positionH>
            <wp:positionV relativeFrom="paragraph">
              <wp:posOffset>53340</wp:posOffset>
            </wp:positionV>
            <wp:extent cx="1733550" cy="361950"/>
            <wp:effectExtent l="0" t="0" r="0" b="0"/>
            <wp:wrapTight wrapText="bothSides">
              <wp:wrapPolygon edited="0">
                <wp:start x="-389" y="0"/>
                <wp:lineTo x="-389" y="21340"/>
                <wp:lineTo x="21795" y="21340"/>
                <wp:lineTo x="21795" y="0"/>
                <wp:lineTo x="-389" y="0"/>
              </wp:wrapPolygon>
            </wp:wrapTight>
            <wp:docPr id="100001" name="Picture 10000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1733550" cy="361950"/>
                    </a:xfrm>
                    <a:prstGeom prst="rect">
                      <a:avLst/>
                    </a:prstGeom>
                  </pic:spPr>
                </pic:pic>
              </a:graphicData>
            </a:graphic>
          </wp:anchor>
        </w:drawing>
      </w:r>
      <w:r>
        <w:rPr>
          <w:noProof/>
        </w:rPr>
        <w:drawing>
          <wp:anchor distT="0" distB="0" distL="114300" distR="114300" simplePos="0" relativeHeight="251659264" behindDoc="0" locked="0" layoutInCell="1" allowOverlap="0" wp14:anchorId="6B318A1C" wp14:editId="668C3919">
            <wp:simplePos x="0" y="0"/>
            <wp:positionH relativeFrom="column">
              <wp:align>left</wp:align>
            </wp:positionH>
            <wp:positionV relativeFrom="paragraph">
              <wp:posOffset>8890</wp:posOffset>
            </wp:positionV>
            <wp:extent cx="1304925" cy="695325"/>
            <wp:effectExtent l="0" t="0" r="0" b="0"/>
            <wp:wrapTight wrapText="bothSides">
              <wp:wrapPolygon edited="0">
                <wp:start x="-389" y="0"/>
                <wp:lineTo x="-389" y="21340"/>
                <wp:lineTo x="21795" y="21340"/>
                <wp:lineTo x="21795" y="0"/>
                <wp:lineTo x="-389" y="0"/>
              </wp:wrapPolygon>
            </wp:wrapTight>
            <wp:docPr id="100003" name="Picture 10000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1304925" cy="695325"/>
                    </a:xfrm>
                    <a:prstGeom prst="rect">
                      <a:avLst/>
                    </a:prstGeom>
                  </pic:spPr>
                </pic:pic>
              </a:graphicData>
            </a:graphic>
          </wp:anchor>
        </w:drawing>
      </w:r>
    </w:p>
    <w:p w14:paraId="079DBE96" w14:textId="77777777" w:rsidR="00175771" w:rsidRDefault="002B7EAF">
      <w:pPr>
        <w:jc w:val="center"/>
      </w:pPr>
      <w:r>
        <w:rPr>
          <w:b/>
          <w:bCs/>
        </w:rPr>
        <w:t>APTA Level 1 Credentialed Clinical Instructor Program</w:t>
      </w:r>
    </w:p>
    <w:p w14:paraId="49A5449A" w14:textId="0501DE25" w:rsidR="00175771" w:rsidRDefault="002B7EAF">
      <w:pPr>
        <w:jc w:val="center"/>
      </w:pPr>
      <w:r>
        <w:rPr>
          <w:b/>
          <w:bCs/>
        </w:rPr>
        <w:t xml:space="preserve">Saturday </w:t>
      </w:r>
      <w:r w:rsidR="00523FD9">
        <w:rPr>
          <w:b/>
          <w:bCs/>
        </w:rPr>
        <w:t xml:space="preserve">&amp; Sunday, </w:t>
      </w:r>
      <w:r>
        <w:rPr>
          <w:b/>
          <w:bCs/>
        </w:rPr>
        <w:t>October 21st and 22</w:t>
      </w:r>
      <w:r>
        <w:rPr>
          <w:b/>
          <w:bCs/>
          <w:vertAlign w:val="superscript"/>
        </w:rPr>
        <w:t>nd</w:t>
      </w:r>
      <w:r>
        <w:rPr>
          <w:b/>
          <w:bCs/>
        </w:rPr>
        <w:t>, 2023</w:t>
      </w:r>
    </w:p>
    <w:p w14:paraId="6445A60E" w14:textId="77777777" w:rsidR="00175771" w:rsidRDefault="002B7EAF" w:rsidP="002B7EAF">
      <w:pPr>
        <w:ind w:firstLine="720"/>
      </w:pPr>
      <w:r>
        <w:rPr>
          <w:b/>
          <w:bCs/>
          <w:shd w:val="clear" w:color="auto" w:fill="00FFFF"/>
        </w:rPr>
        <w:t>Registration Deadline: Monday, September 25, 2023</w:t>
      </w:r>
    </w:p>
    <w:p w14:paraId="5F004651" w14:textId="77777777" w:rsidR="00175771" w:rsidRDefault="00175771">
      <w:pPr>
        <w:jc w:val="center"/>
        <w:rPr>
          <w:b/>
          <w:bCs/>
        </w:rPr>
      </w:pPr>
    </w:p>
    <w:p w14:paraId="28968C76" w14:textId="77777777" w:rsidR="00175771" w:rsidRDefault="002B7EAF">
      <w:pPr>
        <w:jc w:val="center"/>
      </w:pPr>
      <w:r>
        <w:rPr>
          <w:b/>
          <w:bCs/>
        </w:rPr>
        <w:t>Sponsored by:</w:t>
      </w:r>
    </w:p>
    <w:p w14:paraId="32974816" w14:textId="77777777" w:rsidR="00175771" w:rsidRDefault="002B7EAF">
      <w:pPr>
        <w:jc w:val="center"/>
        <w:sectPr w:rsidR="00175771">
          <w:pgSz w:w="12240" w:h="15840"/>
          <w:pgMar w:top="720" w:right="720" w:bottom="720" w:left="720" w:header="708" w:footer="708" w:gutter="0"/>
          <w:cols w:space="708"/>
        </w:sectPr>
      </w:pPr>
      <w:r>
        <w:rPr>
          <w:b/>
          <w:bCs/>
        </w:rPr>
        <w:t>Premier Health</w:t>
      </w:r>
    </w:p>
    <w:p w14:paraId="70B536D3" w14:textId="77777777" w:rsidR="00175771" w:rsidRDefault="00175771">
      <w:pPr>
        <w:rPr>
          <w:b/>
          <w:bCs/>
        </w:rPr>
      </w:pPr>
    </w:p>
    <w:p w14:paraId="73053DC0" w14:textId="77777777" w:rsidR="00175771" w:rsidRDefault="002B7EAF">
      <w:pPr>
        <w:tabs>
          <w:tab w:val="left" w:pos="1620"/>
        </w:tabs>
      </w:pPr>
      <w:r>
        <w:rPr>
          <w:b/>
          <w:bCs/>
        </w:rPr>
        <w:t>Course Location:</w:t>
      </w:r>
      <w:r>
        <w:rPr>
          <w:b/>
          <w:bCs/>
        </w:rPr>
        <w:tab/>
        <w:t>Miami Valley Hospital--South</w:t>
      </w:r>
      <w:r>
        <w:rPr>
          <w:b/>
          <w:bCs/>
        </w:rPr>
        <w:tab/>
      </w:r>
      <w:r>
        <w:rPr>
          <w:b/>
          <w:bCs/>
        </w:rPr>
        <w:tab/>
      </w:r>
      <w:r>
        <w:rPr>
          <w:b/>
          <w:bCs/>
        </w:rPr>
        <w:tab/>
      </w:r>
      <w:r>
        <w:rPr>
          <w:b/>
          <w:bCs/>
        </w:rPr>
        <w:tab/>
      </w:r>
      <w:r>
        <w:rPr>
          <w:b/>
          <w:bCs/>
        </w:rPr>
        <w:tab/>
      </w:r>
    </w:p>
    <w:p w14:paraId="12369169" w14:textId="77777777" w:rsidR="002B7EAF" w:rsidRDefault="002B7EAF">
      <w:pPr>
        <w:rPr>
          <w:b/>
          <w:bCs/>
        </w:rPr>
      </w:pPr>
    </w:p>
    <w:p w14:paraId="2F309013" w14:textId="4CFC9D97" w:rsidR="00175771" w:rsidRDefault="002B7EAF">
      <w:r>
        <w:rPr>
          <w:b/>
          <w:bCs/>
        </w:rPr>
        <w:t>Program Presenters:</w:t>
      </w:r>
      <w:r>
        <w:rPr>
          <w:b/>
          <w:bCs/>
        </w:rPr>
        <w:tab/>
        <w:t>Deb Belcher, PT, DPT</w:t>
      </w:r>
    </w:p>
    <w:p w14:paraId="7513ED02" w14:textId="77777777" w:rsidR="00175771" w:rsidRDefault="002B7EAF">
      <w:r>
        <w:tab/>
      </w:r>
      <w:r>
        <w:tab/>
      </w:r>
      <w:r>
        <w:tab/>
      </w:r>
      <w:r>
        <w:rPr>
          <w:b/>
          <w:bCs/>
        </w:rPr>
        <w:t>Erin Hofmeyer, PT, DPT</w:t>
      </w:r>
    </w:p>
    <w:p w14:paraId="18786A34" w14:textId="77777777" w:rsidR="00175771" w:rsidRDefault="00175771">
      <w:pPr>
        <w:sectPr w:rsidR="00175771">
          <w:type w:val="continuous"/>
          <w:pgSz w:w="12240" w:h="15840"/>
          <w:pgMar w:top="720" w:right="720" w:bottom="720" w:left="720" w:header="708" w:footer="708" w:gutter="0"/>
          <w:cols w:space="708"/>
        </w:sectPr>
      </w:pPr>
    </w:p>
    <w:p w14:paraId="5E8F05C2" w14:textId="77777777" w:rsidR="00175771" w:rsidRDefault="002B7EAF">
      <w:r>
        <w:rPr>
          <w:b/>
          <w:bCs/>
        </w:rPr>
        <w:t>Program Description:</w:t>
      </w:r>
    </w:p>
    <w:p w14:paraId="2FDCDE83" w14:textId="77777777" w:rsidR="00175771" w:rsidRDefault="002B7EAF">
      <w:r>
        <w:t>This course is intended to provide persons involved in delivering clinical education in all healthcare disciplines with a series of skills and tools for enhancing the effectiveness of the clinical education process.  The course consists of two parts: 1) Didactic instruction via an interactive course format and 2) A self-scored Assessment Center that allows participants the opportunity to demonstrate knowledge and skills obtained through the course.  The course addresses the knowledge and skills outlined in the APTA Guidelines for Clinical Instructors (endorsed by the APTA House of Delegates in June 1993 and revised in 1999).</w:t>
      </w:r>
    </w:p>
    <w:p w14:paraId="475104CE" w14:textId="77777777" w:rsidR="00175771" w:rsidRDefault="00175771"/>
    <w:p w14:paraId="0A323C0A" w14:textId="77777777" w:rsidR="00175771" w:rsidRDefault="002B7EAF">
      <w:r>
        <w:t>The six modules of the course address issues related to:</w:t>
      </w:r>
    </w:p>
    <w:p w14:paraId="44360002" w14:textId="77777777" w:rsidR="00175771" w:rsidRDefault="002B7EAF">
      <w:pPr>
        <w:numPr>
          <w:ilvl w:val="0"/>
          <w:numId w:val="1"/>
        </w:numPr>
        <w:tabs>
          <w:tab w:val="left" w:pos="784"/>
        </w:tabs>
        <w:ind w:left="770" w:hanging="360"/>
      </w:pPr>
      <w:r>
        <w:t>Planning and preparing for the clinical education experience.</w:t>
      </w:r>
    </w:p>
    <w:p w14:paraId="66AB254A" w14:textId="77777777" w:rsidR="00175771" w:rsidRDefault="002B7EAF">
      <w:pPr>
        <w:numPr>
          <w:ilvl w:val="0"/>
          <w:numId w:val="1"/>
        </w:numPr>
        <w:tabs>
          <w:tab w:val="left" w:pos="784"/>
        </w:tabs>
        <w:ind w:left="770" w:hanging="360"/>
      </w:pPr>
      <w:r>
        <w:t>Assessing the level of learning and developing learning experiences in the clinic.</w:t>
      </w:r>
    </w:p>
    <w:p w14:paraId="4EC27C8C" w14:textId="77777777" w:rsidR="00175771" w:rsidRDefault="002B7EAF">
      <w:pPr>
        <w:numPr>
          <w:ilvl w:val="0"/>
          <w:numId w:val="1"/>
        </w:numPr>
        <w:tabs>
          <w:tab w:val="left" w:pos="784"/>
        </w:tabs>
        <w:ind w:left="770" w:hanging="360"/>
      </w:pPr>
      <w:r>
        <w:t>Implementing effective teaching strategies in the clinical environment.</w:t>
      </w:r>
    </w:p>
    <w:p w14:paraId="1630D995" w14:textId="77777777" w:rsidR="00175771" w:rsidRDefault="002B7EAF">
      <w:pPr>
        <w:numPr>
          <w:ilvl w:val="0"/>
          <w:numId w:val="1"/>
        </w:numPr>
        <w:tabs>
          <w:tab w:val="left" w:pos="784"/>
        </w:tabs>
        <w:ind w:left="770" w:hanging="360"/>
      </w:pPr>
      <w:r>
        <w:t>Developing skills in performance evaluation.</w:t>
      </w:r>
    </w:p>
    <w:p w14:paraId="6B17F0FC" w14:textId="77777777" w:rsidR="00175771" w:rsidRDefault="002B7EAF">
      <w:pPr>
        <w:numPr>
          <w:ilvl w:val="0"/>
          <w:numId w:val="1"/>
        </w:numPr>
        <w:tabs>
          <w:tab w:val="left" w:pos="784"/>
        </w:tabs>
        <w:ind w:left="770" w:hanging="360"/>
      </w:pPr>
      <w:r>
        <w:t>Identifying legal implications for the clinical educators.</w:t>
      </w:r>
    </w:p>
    <w:p w14:paraId="1084D4CF" w14:textId="77777777" w:rsidR="00175771" w:rsidRDefault="002B7EAF">
      <w:pPr>
        <w:numPr>
          <w:ilvl w:val="0"/>
          <w:numId w:val="1"/>
        </w:numPr>
        <w:tabs>
          <w:tab w:val="left" w:pos="784"/>
        </w:tabs>
        <w:ind w:left="770" w:hanging="360"/>
      </w:pPr>
      <w:r>
        <w:t>Identifying and managing students with exceptional situations.</w:t>
      </w:r>
    </w:p>
    <w:p w14:paraId="52E4B3FC" w14:textId="77777777" w:rsidR="00175771" w:rsidRDefault="00175771"/>
    <w:p w14:paraId="2AD99986" w14:textId="77777777" w:rsidR="00175771" w:rsidRDefault="002B7EAF">
      <w:r>
        <w:rPr>
          <w:b/>
          <w:bCs/>
        </w:rPr>
        <w:t xml:space="preserve">Attendance at all course sessions and successful completion of the Assessment Center results in recognition by the APTA as a Credentialed Clinical Instructor. Only licensed PT’s and PTA’s may participate in the Assessment Center. </w:t>
      </w:r>
      <w:r>
        <w:rPr>
          <w:b/>
          <w:bCs/>
          <w:u w:val="single"/>
        </w:rPr>
        <w:t xml:space="preserve">You must attend all sessions and complete all assessments centers to be eligible for Credentialed Clinical Instructor Status. </w:t>
      </w:r>
    </w:p>
    <w:p w14:paraId="78E36E63" w14:textId="77777777" w:rsidR="00175771" w:rsidRDefault="00175771">
      <w:pPr>
        <w:rPr>
          <w:b/>
          <w:bCs/>
        </w:rPr>
      </w:pPr>
    </w:p>
    <w:p w14:paraId="480EBB75" w14:textId="77777777" w:rsidR="00175771" w:rsidRDefault="002B7EAF">
      <w:r>
        <w:rPr>
          <w:b/>
          <w:bCs/>
        </w:rPr>
        <w:t xml:space="preserve">Agenda: </w:t>
      </w:r>
      <w:r>
        <w:t>The course involves approximately 16 hours of instruction, discussion and assessment.  Times for each section indicated may vary depending on presenter and audience needs:</w:t>
      </w:r>
    </w:p>
    <w:p w14:paraId="783A5C21" w14:textId="77777777" w:rsidR="00175771" w:rsidRDefault="00175771"/>
    <w:tbl>
      <w:tblPr>
        <w:tblW w:w="0" w:type="auto"/>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35"/>
        <w:gridCol w:w="2340"/>
        <w:gridCol w:w="1350"/>
        <w:gridCol w:w="2348"/>
      </w:tblGrid>
      <w:tr w:rsidR="00175771" w14:paraId="1EDF58AD" w14:textId="77777777">
        <w:tc>
          <w:tcPr>
            <w:tcW w:w="1435" w:type="dxa"/>
            <w:tcBorders>
              <w:right w:val="nil"/>
            </w:tcBorders>
            <w:tcMar>
              <w:top w:w="0" w:type="dxa"/>
              <w:left w:w="108" w:type="dxa"/>
              <w:bottom w:w="0" w:type="dxa"/>
              <w:right w:w="108" w:type="dxa"/>
            </w:tcMar>
            <w:vAlign w:val="center"/>
            <w:hideMark/>
          </w:tcPr>
          <w:p w14:paraId="71ED5C04" w14:textId="77777777" w:rsidR="00175771" w:rsidRDefault="002B7EAF">
            <w:pPr>
              <w:spacing w:line="240" w:lineRule="auto"/>
              <w:rPr>
                <w:color w:val="000000"/>
              </w:rPr>
            </w:pPr>
            <w:r>
              <w:rPr>
                <w:b/>
                <w:bCs/>
                <w:color w:val="000000"/>
              </w:rPr>
              <w:t>Day 1</w:t>
            </w:r>
          </w:p>
          <w:p w14:paraId="39EFF360" w14:textId="77777777" w:rsidR="00175771" w:rsidRDefault="002B7EAF">
            <w:pPr>
              <w:spacing w:line="240" w:lineRule="auto"/>
              <w:ind w:left="288"/>
              <w:rPr>
                <w:color w:val="000000"/>
              </w:rPr>
            </w:pPr>
            <w:r>
              <w:rPr>
                <w:color w:val="000000"/>
              </w:rPr>
              <w:t>8:00 am</w:t>
            </w:r>
          </w:p>
          <w:p w14:paraId="45586F55" w14:textId="77777777" w:rsidR="00175771" w:rsidRDefault="002B7EAF">
            <w:pPr>
              <w:spacing w:line="240" w:lineRule="auto"/>
              <w:ind w:left="288"/>
              <w:rPr>
                <w:color w:val="000000"/>
              </w:rPr>
            </w:pPr>
            <w:r>
              <w:rPr>
                <w:color w:val="000000"/>
              </w:rPr>
              <w:t>12:30 pm</w:t>
            </w:r>
          </w:p>
          <w:p w14:paraId="6CB3F854" w14:textId="77777777" w:rsidR="00175771" w:rsidRDefault="002B7EAF">
            <w:pPr>
              <w:spacing w:line="240" w:lineRule="auto"/>
              <w:ind w:left="288"/>
              <w:rPr>
                <w:color w:val="000000"/>
              </w:rPr>
            </w:pPr>
            <w:r>
              <w:rPr>
                <w:color w:val="000000"/>
              </w:rPr>
              <w:t>1:30 pm</w:t>
            </w:r>
          </w:p>
          <w:p w14:paraId="4F4A904C" w14:textId="77777777" w:rsidR="00175771" w:rsidRDefault="002B7EAF">
            <w:pPr>
              <w:spacing w:line="240" w:lineRule="auto"/>
              <w:ind w:left="288"/>
              <w:rPr>
                <w:color w:val="000000"/>
              </w:rPr>
            </w:pPr>
            <w:r>
              <w:rPr>
                <w:color w:val="000000"/>
              </w:rPr>
              <w:t>3:30 pm</w:t>
            </w:r>
          </w:p>
          <w:p w14:paraId="7A8E8F18" w14:textId="77777777" w:rsidR="00175771" w:rsidRDefault="002B7EAF">
            <w:pPr>
              <w:spacing w:line="240" w:lineRule="auto"/>
              <w:ind w:left="288"/>
              <w:rPr>
                <w:color w:val="000000"/>
              </w:rPr>
            </w:pPr>
            <w:r>
              <w:rPr>
                <w:color w:val="000000"/>
              </w:rPr>
              <w:t>5:30 pm</w:t>
            </w:r>
          </w:p>
        </w:tc>
        <w:tc>
          <w:tcPr>
            <w:tcW w:w="2340" w:type="dxa"/>
            <w:tcBorders>
              <w:left w:val="nil"/>
              <w:right w:val="single" w:sz="4" w:space="0" w:color="000000"/>
            </w:tcBorders>
            <w:tcMar>
              <w:top w:w="0" w:type="dxa"/>
              <w:left w:w="0" w:type="dxa"/>
              <w:bottom w:w="0" w:type="dxa"/>
              <w:right w:w="0" w:type="dxa"/>
            </w:tcMar>
            <w:vAlign w:val="center"/>
            <w:hideMark/>
          </w:tcPr>
          <w:p w14:paraId="4A14839B" w14:textId="77777777" w:rsidR="00175771" w:rsidRDefault="00175771">
            <w:pPr>
              <w:spacing w:line="240" w:lineRule="auto"/>
              <w:rPr>
                <w:b/>
                <w:bCs/>
                <w:color w:val="000000"/>
              </w:rPr>
            </w:pPr>
          </w:p>
          <w:p w14:paraId="10099CC4" w14:textId="77777777" w:rsidR="00175771" w:rsidRDefault="002B7EAF">
            <w:pPr>
              <w:spacing w:line="240" w:lineRule="auto"/>
              <w:rPr>
                <w:color w:val="000000"/>
              </w:rPr>
            </w:pPr>
            <w:r>
              <w:rPr>
                <w:color w:val="000000"/>
              </w:rPr>
              <w:t>Workshop begins</w:t>
            </w:r>
          </w:p>
          <w:p w14:paraId="5BCFBB4E" w14:textId="77777777" w:rsidR="00175771" w:rsidRDefault="002B7EAF">
            <w:pPr>
              <w:spacing w:line="240" w:lineRule="auto"/>
              <w:rPr>
                <w:color w:val="000000"/>
              </w:rPr>
            </w:pPr>
            <w:r>
              <w:rPr>
                <w:color w:val="000000"/>
              </w:rPr>
              <w:t>Lunch Break</w:t>
            </w:r>
          </w:p>
          <w:p w14:paraId="4B5190B4" w14:textId="77777777" w:rsidR="00175771" w:rsidRDefault="002B7EAF">
            <w:pPr>
              <w:spacing w:line="240" w:lineRule="auto"/>
              <w:rPr>
                <w:color w:val="000000"/>
              </w:rPr>
            </w:pPr>
            <w:r>
              <w:rPr>
                <w:color w:val="000000"/>
              </w:rPr>
              <w:t>Workshop Continues</w:t>
            </w:r>
          </w:p>
          <w:p w14:paraId="13291C6A" w14:textId="77777777" w:rsidR="00175771" w:rsidRDefault="002B7EAF">
            <w:pPr>
              <w:spacing w:line="240" w:lineRule="auto"/>
              <w:rPr>
                <w:color w:val="000000"/>
              </w:rPr>
            </w:pPr>
            <w:r>
              <w:rPr>
                <w:color w:val="000000"/>
              </w:rPr>
              <w:t>Assessment Center</w:t>
            </w:r>
          </w:p>
          <w:p w14:paraId="2B33CBE0" w14:textId="77777777" w:rsidR="00175771" w:rsidRDefault="002B7EAF">
            <w:pPr>
              <w:spacing w:line="240" w:lineRule="auto"/>
              <w:rPr>
                <w:color w:val="000000"/>
              </w:rPr>
            </w:pPr>
            <w:r>
              <w:rPr>
                <w:color w:val="000000"/>
              </w:rPr>
              <w:t>Adjourn</w:t>
            </w:r>
          </w:p>
        </w:tc>
        <w:tc>
          <w:tcPr>
            <w:tcW w:w="1350" w:type="dxa"/>
            <w:tcBorders>
              <w:left w:val="single" w:sz="4" w:space="0" w:color="000000"/>
              <w:right w:val="nil"/>
            </w:tcBorders>
            <w:tcMar>
              <w:top w:w="0" w:type="dxa"/>
              <w:left w:w="108" w:type="dxa"/>
              <w:bottom w:w="0" w:type="dxa"/>
              <w:right w:w="108" w:type="dxa"/>
            </w:tcMar>
            <w:vAlign w:val="center"/>
            <w:hideMark/>
          </w:tcPr>
          <w:p w14:paraId="7D212125" w14:textId="77777777" w:rsidR="00175771" w:rsidRDefault="002B7EAF">
            <w:pPr>
              <w:spacing w:line="240" w:lineRule="auto"/>
              <w:rPr>
                <w:color w:val="000000"/>
              </w:rPr>
            </w:pPr>
            <w:r>
              <w:rPr>
                <w:b/>
                <w:bCs/>
                <w:color w:val="000000"/>
              </w:rPr>
              <w:t>Day 2</w:t>
            </w:r>
          </w:p>
          <w:p w14:paraId="7B01814C" w14:textId="77777777" w:rsidR="00175771" w:rsidRDefault="002B7EAF">
            <w:pPr>
              <w:spacing w:line="240" w:lineRule="auto"/>
              <w:ind w:left="288"/>
              <w:rPr>
                <w:color w:val="000000"/>
              </w:rPr>
            </w:pPr>
            <w:r>
              <w:rPr>
                <w:color w:val="000000"/>
              </w:rPr>
              <w:t>8:00 am</w:t>
            </w:r>
          </w:p>
          <w:p w14:paraId="03CA405E" w14:textId="77777777" w:rsidR="00175771" w:rsidRDefault="002B7EAF">
            <w:pPr>
              <w:spacing w:line="240" w:lineRule="auto"/>
              <w:ind w:left="288"/>
              <w:rPr>
                <w:color w:val="000000"/>
              </w:rPr>
            </w:pPr>
            <w:r>
              <w:rPr>
                <w:color w:val="000000"/>
              </w:rPr>
              <w:t>12:00 pm</w:t>
            </w:r>
          </w:p>
          <w:p w14:paraId="0113FE17" w14:textId="77777777" w:rsidR="00175771" w:rsidRDefault="002B7EAF">
            <w:pPr>
              <w:spacing w:line="240" w:lineRule="auto"/>
              <w:ind w:left="288"/>
              <w:rPr>
                <w:color w:val="000000"/>
              </w:rPr>
            </w:pPr>
            <w:r>
              <w:rPr>
                <w:color w:val="000000"/>
              </w:rPr>
              <w:t>1:00 pm</w:t>
            </w:r>
          </w:p>
          <w:p w14:paraId="770764B6" w14:textId="77777777" w:rsidR="00175771" w:rsidRDefault="002B7EAF">
            <w:pPr>
              <w:spacing w:line="240" w:lineRule="auto"/>
              <w:ind w:left="288"/>
              <w:rPr>
                <w:color w:val="000000"/>
              </w:rPr>
            </w:pPr>
            <w:r>
              <w:rPr>
                <w:color w:val="000000"/>
              </w:rPr>
              <w:t>3:30 pm</w:t>
            </w:r>
          </w:p>
          <w:p w14:paraId="71AF8856" w14:textId="77777777" w:rsidR="00175771" w:rsidRDefault="002B7EAF">
            <w:pPr>
              <w:spacing w:line="240" w:lineRule="auto"/>
              <w:ind w:left="288"/>
              <w:rPr>
                <w:color w:val="000000"/>
              </w:rPr>
            </w:pPr>
            <w:r>
              <w:rPr>
                <w:color w:val="000000"/>
              </w:rPr>
              <w:t>5:00 pm</w:t>
            </w:r>
          </w:p>
        </w:tc>
        <w:tc>
          <w:tcPr>
            <w:tcW w:w="2348" w:type="dxa"/>
            <w:tcBorders>
              <w:left w:val="nil"/>
            </w:tcBorders>
            <w:tcMar>
              <w:top w:w="0" w:type="dxa"/>
              <w:left w:w="0" w:type="dxa"/>
              <w:bottom w:w="0" w:type="dxa"/>
              <w:right w:w="0" w:type="dxa"/>
            </w:tcMar>
            <w:vAlign w:val="center"/>
            <w:hideMark/>
          </w:tcPr>
          <w:p w14:paraId="760E381C" w14:textId="77777777" w:rsidR="00175771" w:rsidRDefault="00175771">
            <w:pPr>
              <w:spacing w:line="240" w:lineRule="auto"/>
              <w:rPr>
                <w:b/>
                <w:bCs/>
                <w:color w:val="000000"/>
              </w:rPr>
            </w:pPr>
          </w:p>
          <w:p w14:paraId="1A8B8788" w14:textId="77777777" w:rsidR="00175771" w:rsidRDefault="002B7EAF">
            <w:pPr>
              <w:spacing w:line="240" w:lineRule="auto"/>
              <w:rPr>
                <w:color w:val="000000"/>
              </w:rPr>
            </w:pPr>
            <w:r>
              <w:rPr>
                <w:color w:val="000000"/>
              </w:rPr>
              <w:t>Workshop continues</w:t>
            </w:r>
          </w:p>
          <w:p w14:paraId="75DB1B88" w14:textId="77777777" w:rsidR="00175771" w:rsidRDefault="002B7EAF">
            <w:pPr>
              <w:spacing w:line="240" w:lineRule="auto"/>
              <w:rPr>
                <w:color w:val="000000"/>
              </w:rPr>
            </w:pPr>
            <w:r>
              <w:rPr>
                <w:color w:val="000000"/>
              </w:rPr>
              <w:t>Lunch Break</w:t>
            </w:r>
          </w:p>
          <w:p w14:paraId="71BC3A46" w14:textId="77777777" w:rsidR="00175771" w:rsidRDefault="002B7EAF">
            <w:pPr>
              <w:spacing w:line="240" w:lineRule="auto"/>
              <w:rPr>
                <w:color w:val="000000"/>
              </w:rPr>
            </w:pPr>
            <w:r>
              <w:rPr>
                <w:color w:val="000000"/>
              </w:rPr>
              <w:t>Workshop continues</w:t>
            </w:r>
          </w:p>
          <w:p w14:paraId="5D1471A9" w14:textId="77777777" w:rsidR="00175771" w:rsidRDefault="002B7EAF">
            <w:pPr>
              <w:spacing w:line="240" w:lineRule="auto"/>
              <w:rPr>
                <w:color w:val="000000"/>
              </w:rPr>
            </w:pPr>
            <w:r>
              <w:rPr>
                <w:color w:val="000000"/>
              </w:rPr>
              <w:t>Assessment Centers</w:t>
            </w:r>
          </w:p>
          <w:p w14:paraId="74593F53" w14:textId="77777777" w:rsidR="00175771" w:rsidRDefault="002B7EAF">
            <w:pPr>
              <w:spacing w:line="240" w:lineRule="auto"/>
              <w:rPr>
                <w:color w:val="000000"/>
              </w:rPr>
            </w:pPr>
            <w:r>
              <w:rPr>
                <w:color w:val="000000"/>
              </w:rPr>
              <w:t>Adjourn</w:t>
            </w:r>
          </w:p>
        </w:tc>
      </w:tr>
    </w:tbl>
    <w:p w14:paraId="7959B2B2" w14:textId="77777777" w:rsidR="00175771" w:rsidRDefault="00175771"/>
    <w:p w14:paraId="01294C4E" w14:textId="77777777" w:rsidR="00175771" w:rsidRDefault="002B7EAF">
      <w:r>
        <w:rPr>
          <w:b/>
          <w:bCs/>
        </w:rPr>
        <w:t xml:space="preserve">Registration Fee: </w:t>
      </w:r>
      <w:r>
        <w:t>Includes the 2-day course, course manual, electronic copies of all handout materials, the Assessment Center, and Registration in the National Instructor database.</w:t>
      </w:r>
    </w:p>
    <w:tbl>
      <w:tblPr>
        <w:tblpPr w:leftFromText="180" w:rightFromText="180" w:vertAnchor="text" w:tblpY="1"/>
        <w:tblOverlap w:val="neve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30"/>
        <w:gridCol w:w="1891"/>
        <w:gridCol w:w="2158"/>
        <w:gridCol w:w="2158"/>
        <w:gridCol w:w="2163"/>
      </w:tblGrid>
      <w:tr w:rsidR="00175771" w14:paraId="6967AB15" w14:textId="77777777">
        <w:tc>
          <w:tcPr>
            <w:tcW w:w="2430" w:type="dxa"/>
            <w:tcBorders>
              <w:bottom w:val="nil"/>
              <w:right w:val="nil"/>
            </w:tcBorders>
            <w:tcMar>
              <w:top w:w="0" w:type="dxa"/>
              <w:left w:w="113" w:type="dxa"/>
              <w:bottom w:w="0" w:type="dxa"/>
              <w:right w:w="108" w:type="dxa"/>
            </w:tcMar>
            <w:hideMark/>
          </w:tcPr>
          <w:p w14:paraId="286106B5" w14:textId="77777777" w:rsidR="00175771" w:rsidRDefault="002B7EAF">
            <w:pPr>
              <w:rPr>
                <w:color w:val="000000"/>
              </w:rPr>
            </w:pPr>
            <w:r>
              <w:rPr>
                <w:b/>
                <w:bCs/>
                <w:color w:val="000000"/>
              </w:rPr>
              <w:t>Premier Employee:</w:t>
            </w:r>
          </w:p>
        </w:tc>
        <w:tc>
          <w:tcPr>
            <w:tcW w:w="1891" w:type="dxa"/>
            <w:tcBorders>
              <w:left w:val="nil"/>
              <w:bottom w:val="nil"/>
              <w:right w:val="nil"/>
            </w:tcBorders>
            <w:tcMar>
              <w:top w:w="0" w:type="dxa"/>
              <w:left w:w="108" w:type="dxa"/>
              <w:bottom w:w="0" w:type="dxa"/>
              <w:right w:w="108" w:type="dxa"/>
            </w:tcMar>
            <w:hideMark/>
          </w:tcPr>
          <w:p w14:paraId="2D4B1457" w14:textId="77777777" w:rsidR="00175771" w:rsidRDefault="002B7EAF">
            <w:pPr>
              <w:rPr>
                <w:color w:val="000000"/>
              </w:rPr>
            </w:pPr>
            <w:r>
              <w:rPr>
                <w:b/>
                <w:bCs/>
                <w:color w:val="000000"/>
              </w:rPr>
              <w:t>APTA Member</w:t>
            </w:r>
          </w:p>
        </w:tc>
        <w:tc>
          <w:tcPr>
            <w:tcW w:w="2158" w:type="dxa"/>
            <w:tcBorders>
              <w:left w:val="nil"/>
              <w:bottom w:val="nil"/>
              <w:right w:val="nil"/>
            </w:tcBorders>
            <w:tcMar>
              <w:top w:w="0" w:type="dxa"/>
              <w:left w:w="108" w:type="dxa"/>
              <w:bottom w:w="0" w:type="dxa"/>
              <w:right w:w="108" w:type="dxa"/>
            </w:tcMar>
            <w:hideMark/>
          </w:tcPr>
          <w:p w14:paraId="345810A1" w14:textId="77777777" w:rsidR="00175771" w:rsidRDefault="002B7EAF">
            <w:pPr>
              <w:rPr>
                <w:color w:val="000000"/>
              </w:rPr>
            </w:pPr>
            <w:r>
              <w:rPr>
                <w:b/>
                <w:bCs/>
                <w:color w:val="000000"/>
              </w:rPr>
              <w:t>$125.00</w:t>
            </w:r>
          </w:p>
        </w:tc>
        <w:tc>
          <w:tcPr>
            <w:tcW w:w="2158" w:type="dxa"/>
            <w:tcBorders>
              <w:left w:val="nil"/>
              <w:bottom w:val="nil"/>
              <w:right w:val="nil"/>
            </w:tcBorders>
            <w:tcMar>
              <w:top w:w="0" w:type="dxa"/>
              <w:left w:w="108" w:type="dxa"/>
              <w:bottom w:w="0" w:type="dxa"/>
              <w:right w:w="108" w:type="dxa"/>
            </w:tcMar>
            <w:hideMark/>
          </w:tcPr>
          <w:p w14:paraId="3182C978" w14:textId="77777777" w:rsidR="00175771" w:rsidRDefault="002B7EAF">
            <w:pPr>
              <w:rPr>
                <w:color w:val="000000"/>
              </w:rPr>
            </w:pPr>
            <w:r>
              <w:rPr>
                <w:b/>
                <w:bCs/>
                <w:color w:val="000000"/>
              </w:rPr>
              <w:t>APTA Non-Member</w:t>
            </w:r>
          </w:p>
        </w:tc>
        <w:tc>
          <w:tcPr>
            <w:tcW w:w="2163" w:type="dxa"/>
            <w:tcBorders>
              <w:left w:val="nil"/>
              <w:bottom w:val="nil"/>
            </w:tcBorders>
            <w:tcMar>
              <w:top w:w="0" w:type="dxa"/>
              <w:left w:w="108" w:type="dxa"/>
              <w:bottom w:w="0" w:type="dxa"/>
              <w:right w:w="113" w:type="dxa"/>
            </w:tcMar>
            <w:hideMark/>
          </w:tcPr>
          <w:p w14:paraId="0177BBAE" w14:textId="77777777" w:rsidR="00175771" w:rsidRDefault="002B7EAF">
            <w:pPr>
              <w:rPr>
                <w:color w:val="000000"/>
              </w:rPr>
            </w:pPr>
            <w:r>
              <w:rPr>
                <w:b/>
                <w:bCs/>
                <w:color w:val="000000"/>
              </w:rPr>
              <w:t xml:space="preserve">$225.00 </w:t>
            </w:r>
          </w:p>
        </w:tc>
      </w:tr>
      <w:tr w:rsidR="00175771" w14:paraId="507BB3DE" w14:textId="77777777">
        <w:tc>
          <w:tcPr>
            <w:tcW w:w="2430" w:type="dxa"/>
            <w:tcBorders>
              <w:top w:val="nil"/>
              <w:right w:val="nil"/>
            </w:tcBorders>
            <w:tcMar>
              <w:top w:w="0" w:type="dxa"/>
              <w:left w:w="113" w:type="dxa"/>
              <w:bottom w:w="0" w:type="dxa"/>
              <w:right w:w="108" w:type="dxa"/>
            </w:tcMar>
            <w:hideMark/>
          </w:tcPr>
          <w:p w14:paraId="491B34E9" w14:textId="77777777" w:rsidR="00175771" w:rsidRDefault="002B7EAF">
            <w:pPr>
              <w:rPr>
                <w:color w:val="000000"/>
              </w:rPr>
            </w:pPr>
            <w:r>
              <w:rPr>
                <w:b/>
                <w:bCs/>
                <w:color w:val="000000"/>
              </w:rPr>
              <w:t>Non-Premier Applicant:</w:t>
            </w:r>
          </w:p>
        </w:tc>
        <w:tc>
          <w:tcPr>
            <w:tcW w:w="1891" w:type="dxa"/>
            <w:tcBorders>
              <w:top w:val="nil"/>
              <w:left w:val="nil"/>
              <w:right w:val="nil"/>
            </w:tcBorders>
            <w:tcMar>
              <w:top w:w="0" w:type="dxa"/>
              <w:left w:w="108" w:type="dxa"/>
              <w:bottom w:w="0" w:type="dxa"/>
              <w:right w:w="108" w:type="dxa"/>
            </w:tcMar>
            <w:hideMark/>
          </w:tcPr>
          <w:p w14:paraId="33C9A809" w14:textId="77777777" w:rsidR="00175771" w:rsidRDefault="002B7EAF">
            <w:pPr>
              <w:rPr>
                <w:color w:val="000000"/>
              </w:rPr>
            </w:pPr>
            <w:r>
              <w:rPr>
                <w:b/>
                <w:bCs/>
                <w:color w:val="000000"/>
              </w:rPr>
              <w:t>APTA Member</w:t>
            </w:r>
          </w:p>
        </w:tc>
        <w:tc>
          <w:tcPr>
            <w:tcW w:w="2158" w:type="dxa"/>
            <w:tcBorders>
              <w:top w:val="nil"/>
              <w:left w:val="nil"/>
              <w:right w:val="nil"/>
            </w:tcBorders>
            <w:tcMar>
              <w:top w:w="0" w:type="dxa"/>
              <w:left w:w="108" w:type="dxa"/>
              <w:bottom w:w="0" w:type="dxa"/>
              <w:right w:w="108" w:type="dxa"/>
            </w:tcMar>
            <w:hideMark/>
          </w:tcPr>
          <w:p w14:paraId="5A402F7E" w14:textId="77777777" w:rsidR="00175771" w:rsidRDefault="002B7EAF">
            <w:pPr>
              <w:rPr>
                <w:color w:val="000000"/>
              </w:rPr>
            </w:pPr>
            <w:r>
              <w:rPr>
                <w:b/>
                <w:bCs/>
                <w:color w:val="000000"/>
              </w:rPr>
              <w:t>$175.00</w:t>
            </w:r>
          </w:p>
        </w:tc>
        <w:tc>
          <w:tcPr>
            <w:tcW w:w="2158" w:type="dxa"/>
            <w:tcBorders>
              <w:top w:val="nil"/>
              <w:left w:val="nil"/>
              <w:right w:val="nil"/>
            </w:tcBorders>
            <w:tcMar>
              <w:top w:w="0" w:type="dxa"/>
              <w:left w:w="108" w:type="dxa"/>
              <w:bottom w:w="0" w:type="dxa"/>
              <w:right w:w="108" w:type="dxa"/>
            </w:tcMar>
            <w:hideMark/>
          </w:tcPr>
          <w:p w14:paraId="6B6AE6E3" w14:textId="77777777" w:rsidR="00175771" w:rsidRDefault="002B7EAF">
            <w:pPr>
              <w:rPr>
                <w:color w:val="000000"/>
              </w:rPr>
            </w:pPr>
            <w:r>
              <w:rPr>
                <w:b/>
                <w:bCs/>
                <w:color w:val="000000"/>
              </w:rPr>
              <w:t>APTA Non-Member</w:t>
            </w:r>
          </w:p>
        </w:tc>
        <w:tc>
          <w:tcPr>
            <w:tcW w:w="2163" w:type="dxa"/>
            <w:tcBorders>
              <w:top w:val="nil"/>
              <w:left w:val="nil"/>
            </w:tcBorders>
            <w:tcMar>
              <w:top w:w="0" w:type="dxa"/>
              <w:left w:w="108" w:type="dxa"/>
              <w:bottom w:w="0" w:type="dxa"/>
              <w:right w:w="113" w:type="dxa"/>
            </w:tcMar>
            <w:hideMark/>
          </w:tcPr>
          <w:p w14:paraId="7F2884CD" w14:textId="77777777" w:rsidR="00175771" w:rsidRDefault="002B7EAF">
            <w:pPr>
              <w:rPr>
                <w:color w:val="000000"/>
              </w:rPr>
            </w:pPr>
            <w:r>
              <w:rPr>
                <w:b/>
                <w:bCs/>
                <w:color w:val="000000"/>
              </w:rPr>
              <w:t>$275.00</w:t>
            </w:r>
          </w:p>
        </w:tc>
      </w:tr>
    </w:tbl>
    <w:p w14:paraId="34B02E2E" w14:textId="77777777" w:rsidR="00175771" w:rsidRDefault="00175771"/>
    <w:p w14:paraId="65E86F14" w14:textId="77777777" w:rsidR="00175771" w:rsidRDefault="002B7EAF">
      <w:r>
        <w:t>All Ohio PT and PTA participants completing the program will receive 1.55 CEUs/15.5 contact hours.</w:t>
      </w:r>
    </w:p>
    <w:p w14:paraId="20FA4056" w14:textId="77777777" w:rsidR="00175771" w:rsidRDefault="002B7EAF">
      <w:r>
        <w:t>Non-Ohio PT and PTA participants generally receive 1.6 CEUs/16 contact hours.</w:t>
      </w:r>
    </w:p>
    <w:p w14:paraId="3B82F690" w14:textId="72000F9F" w:rsidR="002B7EAF" w:rsidRDefault="002B7EAF">
      <w:r>
        <w:t>Non-physical Therapy providers will receive 1.2 CEUs/12 contact hours.</w:t>
      </w:r>
      <w:r>
        <w:br w:type="page"/>
      </w:r>
    </w:p>
    <w:p w14:paraId="2A39CB8E" w14:textId="77777777" w:rsidR="00175771" w:rsidRDefault="002B7EAF">
      <w:pPr>
        <w:tabs>
          <w:tab w:val="left" w:pos="900"/>
        </w:tabs>
        <w:ind w:left="900" w:hanging="900"/>
      </w:pPr>
      <w:r>
        <w:rPr>
          <w:b/>
          <w:bCs/>
        </w:rPr>
        <w:lastRenderedPageBreak/>
        <w:t>Refunds:</w:t>
      </w:r>
      <w:r>
        <w:rPr>
          <w:b/>
          <w:bCs/>
        </w:rPr>
        <w:tab/>
      </w:r>
      <w:r>
        <w:rPr>
          <w:shd w:val="clear" w:color="auto" w:fill="00FFFF"/>
        </w:rPr>
        <w:t>Individuals must cancel their CCIP registration and request a refund 72 hours prior to the start date of the course, and the CI course manual must be returned to the APTA, as applicable.</w:t>
      </w:r>
      <w:r>
        <w:t xml:space="preserve"> </w:t>
      </w:r>
    </w:p>
    <w:p w14:paraId="0642C6E1" w14:textId="77777777" w:rsidR="00175771" w:rsidRDefault="002B7EAF">
      <w:pPr>
        <w:numPr>
          <w:ilvl w:val="0"/>
          <w:numId w:val="2"/>
        </w:numPr>
        <w:pBdr>
          <w:left w:val="none" w:sz="0" w:space="7" w:color="auto"/>
        </w:pBdr>
        <w:ind w:left="1260" w:hanging="430"/>
        <w:rPr>
          <w:rFonts w:ascii="Times New Roman" w:eastAsia="Times New Roman" w:hAnsi="Times New Roman" w:cs="Times New Roman"/>
        </w:rPr>
      </w:pPr>
      <w:r>
        <w:t>The course manual is now electronic, but a participant can request a paper copy if they wish.</w:t>
      </w:r>
    </w:p>
    <w:p w14:paraId="4AD4535F" w14:textId="77777777" w:rsidR="00175771" w:rsidRDefault="00175771">
      <w:pPr>
        <w:ind w:left="1446"/>
      </w:pPr>
    </w:p>
    <w:p w14:paraId="4E8F2EBD" w14:textId="77777777" w:rsidR="00175771" w:rsidRDefault="002B7EAF">
      <w:r>
        <w:rPr>
          <w:b/>
          <w:bCs/>
        </w:rPr>
        <w:t>Requirements:</w:t>
      </w:r>
      <w:r>
        <w:rPr>
          <w:b/>
          <w:bCs/>
        </w:rPr>
        <w:tab/>
      </w:r>
      <w:r>
        <w:t>Please take note of the following requirements of this course:</w:t>
      </w:r>
    </w:p>
    <w:p w14:paraId="6600F095" w14:textId="77777777" w:rsidR="00175771" w:rsidRDefault="002B7EAF">
      <w:pPr>
        <w:numPr>
          <w:ilvl w:val="0"/>
          <w:numId w:val="3"/>
        </w:numPr>
        <w:pBdr>
          <w:left w:val="none" w:sz="0" w:space="7" w:color="auto"/>
        </w:pBdr>
        <w:ind w:left="1980" w:hanging="430"/>
        <w:rPr>
          <w:rFonts w:ascii="Times New Roman" w:eastAsia="Times New Roman" w:hAnsi="Times New Roman" w:cs="Times New Roman"/>
        </w:rPr>
      </w:pPr>
      <w:r>
        <w:t>There are some pre-course assignments, requiring ~1 hour to complete, prior to the course.</w:t>
      </w:r>
    </w:p>
    <w:p w14:paraId="4D1A81DC" w14:textId="77777777" w:rsidR="00175771" w:rsidRDefault="002B7EAF">
      <w:pPr>
        <w:numPr>
          <w:ilvl w:val="0"/>
          <w:numId w:val="3"/>
        </w:numPr>
        <w:pBdr>
          <w:left w:val="none" w:sz="0" w:space="7" w:color="auto"/>
        </w:pBdr>
        <w:ind w:left="1980" w:hanging="430"/>
        <w:rPr>
          <w:rFonts w:ascii="Times New Roman" w:eastAsia="Times New Roman" w:hAnsi="Times New Roman" w:cs="Times New Roman"/>
        </w:rPr>
      </w:pPr>
      <w:r>
        <w:t xml:space="preserve">Because the Course Manual and Assessment Centers are in electronic format, you will need to bring an electronic device—preferably a laptop or tablet—with you. </w:t>
      </w:r>
    </w:p>
    <w:p w14:paraId="0CF4A6D2" w14:textId="77777777" w:rsidR="00175771" w:rsidRDefault="002B7EAF">
      <w:pPr>
        <w:numPr>
          <w:ilvl w:val="1"/>
          <w:numId w:val="3"/>
        </w:numPr>
        <w:pBdr>
          <w:left w:val="none" w:sz="0" w:space="4" w:color="auto"/>
        </w:pBdr>
        <w:ind w:left="2700" w:hanging="366"/>
        <w:rPr>
          <w:rFonts w:ascii="Times New Roman" w:eastAsia="Times New Roman" w:hAnsi="Times New Roman" w:cs="Times New Roman"/>
        </w:rPr>
      </w:pPr>
      <w:r>
        <w:t>More information regarding technology requirements will be provided prior to the course.</w:t>
      </w:r>
    </w:p>
    <w:p w14:paraId="20B08E39" w14:textId="77777777" w:rsidR="00175771" w:rsidRDefault="00175771">
      <w:pPr>
        <w:rPr>
          <w:b/>
          <w:bCs/>
        </w:rPr>
      </w:pPr>
    </w:p>
    <w:p w14:paraId="304CE292" w14:textId="77777777" w:rsidR="00175771" w:rsidRDefault="002B7EAF">
      <w:r>
        <w:rPr>
          <w:b/>
          <w:bCs/>
        </w:rPr>
        <w:t>To register for the course:</w:t>
      </w:r>
    </w:p>
    <w:p w14:paraId="109CC7EB" w14:textId="77777777" w:rsidR="00175771" w:rsidRDefault="002B7EAF">
      <w:pPr>
        <w:numPr>
          <w:ilvl w:val="0"/>
          <w:numId w:val="4"/>
        </w:numPr>
        <w:pBdr>
          <w:left w:val="none" w:sz="0" w:space="4" w:color="auto"/>
        </w:pBdr>
      </w:pPr>
      <w:r>
        <w:t xml:space="preserve">Go to </w:t>
      </w:r>
      <w:hyperlink r:id="rId7" w:history="1">
        <w:r>
          <w:rPr>
            <w:color w:val="0000FF"/>
            <w:u w:val="single" w:color="0000FF"/>
          </w:rPr>
          <w:t>https://www.msj.edu/academics/graduate-programs/doctor-of-physical-therapy/dpt-curriculum/index.html</w:t>
        </w:r>
      </w:hyperlink>
      <w:r>
        <w:t xml:space="preserve"> </w:t>
      </w:r>
    </w:p>
    <w:p w14:paraId="69AE43C8" w14:textId="0B057C73" w:rsidR="00175771" w:rsidRDefault="002B7EAF">
      <w:pPr>
        <w:numPr>
          <w:ilvl w:val="0"/>
          <w:numId w:val="4"/>
        </w:numPr>
        <w:pBdr>
          <w:left w:val="none" w:sz="0" w:space="4" w:color="auto"/>
        </w:pBdr>
      </w:pPr>
      <w:r>
        <w:t>Scroll to the bottom of the page, and select: “</w:t>
      </w:r>
      <w:r w:rsidRPr="002B7EAF">
        <w:rPr>
          <w:highlight w:val="yellow"/>
        </w:rPr>
        <w:t>Level 1 CCIP Course—October 21st and October 22nd, 2023 Miami Valley (In-Person)</w:t>
      </w:r>
      <w:r>
        <w:t>”</w:t>
      </w:r>
    </w:p>
    <w:p w14:paraId="5D6B3F73" w14:textId="7620FFA6" w:rsidR="00175771" w:rsidRDefault="002B7EAF">
      <w:pPr>
        <w:numPr>
          <w:ilvl w:val="1"/>
          <w:numId w:val="4"/>
        </w:numPr>
        <w:pBdr>
          <w:left w:val="none" w:sz="0" w:space="4" w:color="auto"/>
        </w:pBdr>
      </w:pPr>
      <w:r>
        <w:t xml:space="preserve">There are </w:t>
      </w:r>
      <w:r w:rsidRPr="002B7EAF">
        <w:rPr>
          <w:b/>
          <w:bCs/>
        </w:rPr>
        <w:t>three tabs</w:t>
      </w:r>
      <w:r>
        <w:t xml:space="preserve"> under this link. </w:t>
      </w:r>
      <w:r w:rsidRPr="002B7EAF">
        <w:rPr>
          <w:b/>
          <w:bCs/>
        </w:rPr>
        <w:t>Please review each</w:t>
      </w:r>
      <w:r>
        <w:t>. Here you can complete electronic payment.</w:t>
      </w:r>
    </w:p>
    <w:p w14:paraId="57E36AC3" w14:textId="77777777" w:rsidR="00F76512" w:rsidRDefault="002B7EAF" w:rsidP="00F76512">
      <w:pPr>
        <w:numPr>
          <w:ilvl w:val="1"/>
          <w:numId w:val="4"/>
        </w:numPr>
        <w:pBdr>
          <w:left w:val="none" w:sz="0" w:space="4" w:color="auto"/>
        </w:pBdr>
      </w:pPr>
      <w:r>
        <w:t>When logging in to the APTA CCIP Program (</w:t>
      </w:r>
      <w:hyperlink r:id="rId8" w:history="1">
        <w:r>
          <w:rPr>
            <w:color w:val="0563C1"/>
            <w:u w:val="single" w:color="0563C1"/>
          </w:rPr>
          <w:t>https://CCIP.apta.org</w:t>
        </w:r>
      </w:hyperlink>
      <w:r>
        <w:t xml:space="preserve">) to complete your application, use Code </w:t>
      </w:r>
      <w:r>
        <w:rPr>
          <w:shd w:val="clear" w:color="auto" w:fill="FFFF00"/>
        </w:rPr>
        <w:t>202310OH105</w:t>
      </w:r>
      <w:r>
        <w:t xml:space="preserve"> to link directly to our course.</w:t>
      </w:r>
    </w:p>
    <w:p w14:paraId="3F18F335" w14:textId="6091F9A3" w:rsidR="00F76512" w:rsidRDefault="00F76512" w:rsidP="00F76512">
      <w:pPr>
        <w:numPr>
          <w:ilvl w:val="0"/>
          <w:numId w:val="4"/>
        </w:numPr>
        <w:pBdr>
          <w:left w:val="none" w:sz="0" w:space="4" w:color="auto"/>
        </w:pBdr>
      </w:pPr>
      <w:r w:rsidRPr="00F76512">
        <w:rPr>
          <w:b/>
          <w:bCs/>
        </w:rPr>
        <w:t>Make checks payable to</w:t>
      </w:r>
      <w:r>
        <w:t>:</w:t>
      </w:r>
    </w:p>
    <w:p w14:paraId="78B55BDC" w14:textId="77777777" w:rsidR="00F76512" w:rsidRDefault="002B7EAF" w:rsidP="00F76512">
      <w:pPr>
        <w:pBdr>
          <w:left w:val="none" w:sz="0" w:space="4" w:color="auto"/>
        </w:pBdr>
        <w:ind w:left="720"/>
      </w:pPr>
      <w:r w:rsidRPr="00F76512">
        <w:rPr>
          <w:highlight w:val="yellow"/>
        </w:rPr>
        <w:t>Mount St. Joseph University</w:t>
      </w:r>
      <w:r>
        <w:t xml:space="preserve"> </w:t>
      </w:r>
    </w:p>
    <w:p w14:paraId="791AC753" w14:textId="77777777" w:rsidR="00F76512" w:rsidRPr="00F76512" w:rsidRDefault="00F76512" w:rsidP="00F76512">
      <w:pPr>
        <w:pStyle w:val="ListParagraph"/>
        <w:numPr>
          <w:ilvl w:val="0"/>
          <w:numId w:val="4"/>
        </w:numPr>
        <w:pBdr>
          <w:left w:val="none" w:sz="0" w:space="4" w:color="auto"/>
        </w:pBdr>
        <w:rPr>
          <w:b/>
          <w:bCs/>
        </w:rPr>
      </w:pPr>
      <w:r w:rsidRPr="00F76512">
        <w:rPr>
          <w:b/>
          <w:bCs/>
        </w:rPr>
        <w:t>Mail to:</w:t>
      </w:r>
    </w:p>
    <w:p w14:paraId="5C740ED5" w14:textId="25A33093" w:rsidR="00F76512" w:rsidRPr="00F76512" w:rsidRDefault="00F76512" w:rsidP="00F76512">
      <w:pPr>
        <w:pBdr>
          <w:left w:val="none" w:sz="0" w:space="4" w:color="auto"/>
        </w:pBdr>
        <w:ind w:left="720"/>
        <w:rPr>
          <w:highlight w:val="yellow"/>
        </w:rPr>
      </w:pPr>
      <w:r w:rsidRPr="00F76512">
        <w:rPr>
          <w:highlight w:val="yellow"/>
        </w:rPr>
        <w:t>Mount St. Joseph University</w:t>
      </w:r>
    </w:p>
    <w:p w14:paraId="2F3FD689" w14:textId="77777777" w:rsidR="00F76512" w:rsidRPr="00F76512" w:rsidRDefault="00F76512" w:rsidP="00F76512">
      <w:pPr>
        <w:pBdr>
          <w:left w:val="none" w:sz="0" w:space="4" w:color="auto"/>
        </w:pBdr>
        <w:ind w:left="720"/>
        <w:rPr>
          <w:highlight w:val="yellow"/>
        </w:rPr>
      </w:pPr>
      <w:r w:rsidRPr="00F76512">
        <w:rPr>
          <w:highlight w:val="yellow"/>
        </w:rPr>
        <w:t>Physical Therapy Program</w:t>
      </w:r>
    </w:p>
    <w:p w14:paraId="73641795" w14:textId="77777777" w:rsidR="00F76512" w:rsidRPr="00F76512" w:rsidRDefault="00F76512" w:rsidP="00F76512">
      <w:pPr>
        <w:pBdr>
          <w:left w:val="none" w:sz="0" w:space="4" w:color="auto"/>
        </w:pBdr>
        <w:ind w:left="720"/>
        <w:rPr>
          <w:highlight w:val="yellow"/>
        </w:rPr>
      </w:pPr>
      <w:r w:rsidRPr="00F76512">
        <w:rPr>
          <w:highlight w:val="yellow"/>
        </w:rPr>
        <w:t>A</w:t>
      </w:r>
      <w:r w:rsidR="002B7EAF" w:rsidRPr="00F76512">
        <w:rPr>
          <w:highlight w:val="yellow"/>
        </w:rPr>
        <w:t>ttention</w:t>
      </w:r>
      <w:r w:rsidRPr="00F76512">
        <w:rPr>
          <w:highlight w:val="yellow"/>
        </w:rPr>
        <w:t>:</w:t>
      </w:r>
      <w:r w:rsidR="002B7EAF" w:rsidRPr="00F76512">
        <w:rPr>
          <w:highlight w:val="yellow"/>
        </w:rPr>
        <w:t xml:space="preserve"> Julie Tolbert DPT</w:t>
      </w:r>
    </w:p>
    <w:p w14:paraId="670CE510" w14:textId="77777777" w:rsidR="00F76512" w:rsidRPr="00F76512" w:rsidRDefault="002B7EAF" w:rsidP="00F76512">
      <w:pPr>
        <w:pBdr>
          <w:left w:val="none" w:sz="0" w:space="4" w:color="auto"/>
        </w:pBdr>
        <w:ind w:left="720"/>
        <w:rPr>
          <w:highlight w:val="yellow"/>
        </w:rPr>
      </w:pPr>
      <w:r w:rsidRPr="00F76512">
        <w:rPr>
          <w:highlight w:val="yellow"/>
        </w:rPr>
        <w:t>5701 Delhi Road</w:t>
      </w:r>
    </w:p>
    <w:p w14:paraId="73F3168D" w14:textId="7D515BCB" w:rsidR="00175771" w:rsidRDefault="002B7EAF" w:rsidP="00F76512">
      <w:pPr>
        <w:pBdr>
          <w:left w:val="none" w:sz="0" w:space="4" w:color="auto"/>
        </w:pBdr>
        <w:ind w:left="720"/>
      </w:pPr>
      <w:r w:rsidRPr="00F76512">
        <w:rPr>
          <w:highlight w:val="yellow"/>
        </w:rPr>
        <w:t>Cincinnati, Ohio 45233.</w:t>
      </w:r>
    </w:p>
    <w:p w14:paraId="4FB50EA4" w14:textId="77777777" w:rsidR="00175771" w:rsidRDefault="00175771">
      <w:pPr>
        <w:pBdr>
          <w:left w:val="none" w:sz="0" w:space="4" w:color="auto"/>
        </w:pBdr>
        <w:ind w:left="360"/>
      </w:pPr>
    </w:p>
    <w:p w14:paraId="6FFF8750" w14:textId="77777777" w:rsidR="00175771" w:rsidRDefault="002B7EAF">
      <w:pPr>
        <w:pBdr>
          <w:left w:val="none" w:sz="0" w:space="4" w:color="auto"/>
        </w:pBdr>
        <w:ind w:left="4320" w:firstLine="720"/>
      </w:pPr>
      <w:r>
        <w:t xml:space="preserve"> </w:t>
      </w:r>
    </w:p>
    <w:p w14:paraId="38F6EAD2" w14:textId="77777777" w:rsidR="00175771" w:rsidRDefault="00175771">
      <w:pPr>
        <w:pBdr>
          <w:left w:val="none" w:sz="0" w:space="4" w:color="auto"/>
        </w:pBdr>
        <w:ind w:left="80"/>
      </w:pPr>
    </w:p>
    <w:p w14:paraId="739B3D59" w14:textId="77777777" w:rsidR="00175771" w:rsidRDefault="002B7EAF">
      <w:r>
        <w:rPr>
          <w:b/>
          <w:bCs/>
          <w:shd w:val="clear" w:color="auto" w:fill="00FFFF"/>
        </w:rPr>
        <w:t>Registration Deadline: Monday, September 25, 2023</w:t>
      </w:r>
    </w:p>
    <w:p w14:paraId="258D6EFA" w14:textId="77777777" w:rsidR="00175771" w:rsidRDefault="00175771"/>
    <w:p w14:paraId="3DE7392C" w14:textId="77777777" w:rsidR="00175771" w:rsidRDefault="002B7EAF">
      <w:r>
        <w:rPr>
          <w:shd w:val="clear" w:color="auto" w:fill="FFFF00"/>
        </w:rPr>
        <w:t xml:space="preserve">*** If you should have any questions regarding the registration or payment process, please notify Erin Hofmeyer at </w:t>
      </w:r>
      <w:hyperlink r:id="rId9" w:history="1">
        <w:r>
          <w:rPr>
            <w:color w:val="0000FF"/>
            <w:u w:val="single" w:color="0000FF"/>
            <w:shd w:val="clear" w:color="auto" w:fill="FFFF00"/>
          </w:rPr>
          <w:t>Erin.Hofmeyer@msj.edu</w:t>
        </w:r>
      </w:hyperlink>
      <w:r>
        <w:rPr>
          <w:shd w:val="clear" w:color="auto" w:fill="FFFF00"/>
        </w:rPr>
        <w:t>.</w:t>
      </w:r>
    </w:p>
    <w:p w14:paraId="6A892A58" w14:textId="77777777" w:rsidR="00175771" w:rsidRDefault="00175771"/>
    <w:p w14:paraId="2B2A583F" w14:textId="77777777" w:rsidR="00175771" w:rsidRDefault="002B7EAF">
      <w:r>
        <w:t xml:space="preserve">***If you should have any questions regarding the course or technology requirements, please notify Deb Belcher at </w:t>
      </w:r>
      <w:hyperlink r:id="rId10" w:history="1">
        <w:r>
          <w:rPr>
            <w:color w:val="0563C1"/>
            <w:u w:val="single" w:color="0563C1"/>
          </w:rPr>
          <w:t>Debra.belcher@sinclair.edu</w:t>
        </w:r>
      </w:hyperlink>
      <w:r>
        <w:t>.</w:t>
      </w:r>
    </w:p>
    <w:p w14:paraId="12884068" w14:textId="77777777" w:rsidR="00175771" w:rsidRDefault="00175771">
      <w:pPr>
        <w:ind w:left="360"/>
      </w:pPr>
    </w:p>
    <w:p w14:paraId="101B8F41" w14:textId="77777777" w:rsidR="00175771" w:rsidRDefault="00175771">
      <w:pPr>
        <w:ind w:left="720"/>
      </w:pPr>
    </w:p>
    <w:sectPr w:rsidR="00175771">
      <w:type w:val="continuous"/>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4F49774">
      <w:start w:val="1"/>
      <w:numFmt w:val="bullet"/>
      <w:lvlText w:val=""/>
      <w:lvlJc w:val="left"/>
      <w:pPr>
        <w:ind w:left="0" w:firstLine="0"/>
      </w:pPr>
      <w:rPr>
        <w:rFonts w:ascii="Wingdings" w:eastAsia="Wingdings" w:hAnsi="Wingdings" w:cs="Wingdings"/>
        <w:sz w:val="22"/>
        <w:szCs w:val="22"/>
      </w:rPr>
    </w:lvl>
    <w:lvl w:ilvl="1" w:tplc="DBCCDBC4">
      <w:start w:val="1"/>
      <w:numFmt w:val="bullet"/>
      <w:lvlText w:val="o"/>
      <w:lvlJc w:val="left"/>
      <w:pPr>
        <w:tabs>
          <w:tab w:val="num" w:pos="1440"/>
        </w:tabs>
        <w:ind w:left="1440" w:hanging="360"/>
      </w:pPr>
      <w:rPr>
        <w:rFonts w:ascii="Courier New" w:hAnsi="Courier New"/>
      </w:rPr>
    </w:lvl>
    <w:lvl w:ilvl="2" w:tplc="AB5EAD66">
      <w:start w:val="1"/>
      <w:numFmt w:val="bullet"/>
      <w:lvlText w:val=""/>
      <w:lvlJc w:val="left"/>
      <w:pPr>
        <w:tabs>
          <w:tab w:val="num" w:pos="2160"/>
        </w:tabs>
        <w:ind w:left="2160" w:hanging="360"/>
      </w:pPr>
      <w:rPr>
        <w:rFonts w:ascii="Wingdings" w:hAnsi="Wingdings"/>
      </w:rPr>
    </w:lvl>
    <w:lvl w:ilvl="3" w:tplc="9ABE09A8">
      <w:start w:val="1"/>
      <w:numFmt w:val="bullet"/>
      <w:lvlText w:val=""/>
      <w:lvlJc w:val="left"/>
      <w:pPr>
        <w:tabs>
          <w:tab w:val="num" w:pos="2880"/>
        </w:tabs>
        <w:ind w:left="2880" w:hanging="360"/>
      </w:pPr>
      <w:rPr>
        <w:rFonts w:ascii="Symbol" w:hAnsi="Symbol"/>
      </w:rPr>
    </w:lvl>
    <w:lvl w:ilvl="4" w:tplc="CCD214D2">
      <w:start w:val="1"/>
      <w:numFmt w:val="bullet"/>
      <w:lvlText w:val="o"/>
      <w:lvlJc w:val="left"/>
      <w:pPr>
        <w:tabs>
          <w:tab w:val="num" w:pos="3600"/>
        </w:tabs>
        <w:ind w:left="3600" w:hanging="360"/>
      </w:pPr>
      <w:rPr>
        <w:rFonts w:ascii="Courier New" w:hAnsi="Courier New"/>
      </w:rPr>
    </w:lvl>
    <w:lvl w:ilvl="5" w:tplc="089A4982">
      <w:start w:val="1"/>
      <w:numFmt w:val="bullet"/>
      <w:lvlText w:val=""/>
      <w:lvlJc w:val="left"/>
      <w:pPr>
        <w:tabs>
          <w:tab w:val="num" w:pos="4320"/>
        </w:tabs>
        <w:ind w:left="4320" w:hanging="360"/>
      </w:pPr>
      <w:rPr>
        <w:rFonts w:ascii="Wingdings" w:hAnsi="Wingdings"/>
      </w:rPr>
    </w:lvl>
    <w:lvl w:ilvl="6" w:tplc="5942C84E">
      <w:start w:val="1"/>
      <w:numFmt w:val="bullet"/>
      <w:lvlText w:val=""/>
      <w:lvlJc w:val="left"/>
      <w:pPr>
        <w:tabs>
          <w:tab w:val="num" w:pos="5040"/>
        </w:tabs>
        <w:ind w:left="5040" w:hanging="360"/>
      </w:pPr>
      <w:rPr>
        <w:rFonts w:ascii="Symbol" w:hAnsi="Symbol"/>
      </w:rPr>
    </w:lvl>
    <w:lvl w:ilvl="7" w:tplc="CC3C936A">
      <w:start w:val="1"/>
      <w:numFmt w:val="bullet"/>
      <w:lvlText w:val="o"/>
      <w:lvlJc w:val="left"/>
      <w:pPr>
        <w:tabs>
          <w:tab w:val="num" w:pos="5760"/>
        </w:tabs>
        <w:ind w:left="5760" w:hanging="360"/>
      </w:pPr>
      <w:rPr>
        <w:rFonts w:ascii="Courier New" w:hAnsi="Courier New"/>
      </w:rPr>
    </w:lvl>
    <w:lvl w:ilvl="8" w:tplc="E6DE67C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C5E47EC">
      <w:start w:val="1"/>
      <w:numFmt w:val="bullet"/>
      <w:lvlText w:val=""/>
      <w:lvlJc w:val="left"/>
      <w:pPr>
        <w:ind w:left="720" w:hanging="360"/>
      </w:pPr>
      <w:rPr>
        <w:rFonts w:ascii="Symbol" w:hAnsi="Symbol"/>
        <w:b w:val="0"/>
        <w:bCs w:val="0"/>
      </w:rPr>
    </w:lvl>
    <w:lvl w:ilvl="1" w:tplc="ACACBA8A">
      <w:start w:val="1"/>
      <w:numFmt w:val="bullet"/>
      <w:lvlText w:val="o"/>
      <w:lvlJc w:val="left"/>
      <w:pPr>
        <w:tabs>
          <w:tab w:val="num" w:pos="1440"/>
        </w:tabs>
        <w:ind w:left="1440" w:hanging="360"/>
      </w:pPr>
      <w:rPr>
        <w:rFonts w:ascii="Courier New" w:hAnsi="Courier New"/>
      </w:rPr>
    </w:lvl>
    <w:lvl w:ilvl="2" w:tplc="EC341B7A">
      <w:start w:val="1"/>
      <w:numFmt w:val="bullet"/>
      <w:lvlText w:val=""/>
      <w:lvlJc w:val="left"/>
      <w:pPr>
        <w:tabs>
          <w:tab w:val="num" w:pos="2160"/>
        </w:tabs>
        <w:ind w:left="2160" w:hanging="360"/>
      </w:pPr>
      <w:rPr>
        <w:rFonts w:ascii="Wingdings" w:hAnsi="Wingdings"/>
      </w:rPr>
    </w:lvl>
    <w:lvl w:ilvl="3" w:tplc="5D62F6EA">
      <w:start w:val="1"/>
      <w:numFmt w:val="bullet"/>
      <w:lvlText w:val=""/>
      <w:lvlJc w:val="left"/>
      <w:pPr>
        <w:tabs>
          <w:tab w:val="num" w:pos="2880"/>
        </w:tabs>
        <w:ind w:left="2880" w:hanging="360"/>
      </w:pPr>
      <w:rPr>
        <w:rFonts w:ascii="Symbol" w:hAnsi="Symbol"/>
      </w:rPr>
    </w:lvl>
    <w:lvl w:ilvl="4" w:tplc="2DA8F8D8">
      <w:start w:val="1"/>
      <w:numFmt w:val="bullet"/>
      <w:lvlText w:val="o"/>
      <w:lvlJc w:val="left"/>
      <w:pPr>
        <w:tabs>
          <w:tab w:val="num" w:pos="3600"/>
        </w:tabs>
        <w:ind w:left="3600" w:hanging="360"/>
      </w:pPr>
      <w:rPr>
        <w:rFonts w:ascii="Courier New" w:hAnsi="Courier New"/>
      </w:rPr>
    </w:lvl>
    <w:lvl w:ilvl="5" w:tplc="FD369D72">
      <w:start w:val="1"/>
      <w:numFmt w:val="bullet"/>
      <w:lvlText w:val=""/>
      <w:lvlJc w:val="left"/>
      <w:pPr>
        <w:tabs>
          <w:tab w:val="num" w:pos="4320"/>
        </w:tabs>
        <w:ind w:left="4320" w:hanging="360"/>
      </w:pPr>
      <w:rPr>
        <w:rFonts w:ascii="Wingdings" w:hAnsi="Wingdings"/>
      </w:rPr>
    </w:lvl>
    <w:lvl w:ilvl="6" w:tplc="C400B642">
      <w:start w:val="1"/>
      <w:numFmt w:val="bullet"/>
      <w:lvlText w:val=""/>
      <w:lvlJc w:val="left"/>
      <w:pPr>
        <w:tabs>
          <w:tab w:val="num" w:pos="5040"/>
        </w:tabs>
        <w:ind w:left="5040" w:hanging="360"/>
      </w:pPr>
      <w:rPr>
        <w:rFonts w:ascii="Symbol" w:hAnsi="Symbol"/>
      </w:rPr>
    </w:lvl>
    <w:lvl w:ilvl="7" w:tplc="A70ABFCE">
      <w:start w:val="1"/>
      <w:numFmt w:val="bullet"/>
      <w:lvlText w:val="o"/>
      <w:lvlJc w:val="left"/>
      <w:pPr>
        <w:tabs>
          <w:tab w:val="num" w:pos="5760"/>
        </w:tabs>
        <w:ind w:left="5760" w:hanging="360"/>
      </w:pPr>
      <w:rPr>
        <w:rFonts w:ascii="Courier New" w:hAnsi="Courier New"/>
      </w:rPr>
    </w:lvl>
    <w:lvl w:ilvl="8" w:tplc="E44E26D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56AB4B2">
      <w:start w:val="1"/>
      <w:numFmt w:val="bullet"/>
      <w:lvlText w:val=""/>
      <w:lvlJc w:val="left"/>
      <w:pPr>
        <w:ind w:left="720" w:hanging="360"/>
      </w:pPr>
      <w:rPr>
        <w:rFonts w:ascii="Symbol" w:hAnsi="Symbol"/>
        <w:b w:val="0"/>
        <w:bCs w:val="0"/>
      </w:rPr>
    </w:lvl>
    <w:lvl w:ilvl="1" w:tplc="8626DE9C">
      <w:start w:val="1"/>
      <w:numFmt w:val="bullet"/>
      <w:lvlText w:val=""/>
      <w:lvlJc w:val="left"/>
      <w:pPr>
        <w:ind w:left="1440" w:hanging="360"/>
      </w:pPr>
      <w:rPr>
        <w:rFonts w:ascii="Wingdings" w:hAnsi="Wingdings"/>
        <w:b w:val="0"/>
        <w:bCs w:val="0"/>
      </w:rPr>
    </w:lvl>
    <w:lvl w:ilvl="2" w:tplc="C14861E2">
      <w:start w:val="1"/>
      <w:numFmt w:val="bullet"/>
      <w:lvlText w:val=""/>
      <w:lvlJc w:val="left"/>
      <w:pPr>
        <w:tabs>
          <w:tab w:val="num" w:pos="2160"/>
        </w:tabs>
        <w:ind w:left="2160" w:hanging="360"/>
      </w:pPr>
      <w:rPr>
        <w:rFonts w:ascii="Wingdings" w:hAnsi="Wingdings"/>
      </w:rPr>
    </w:lvl>
    <w:lvl w:ilvl="3" w:tplc="9B1028F0">
      <w:start w:val="1"/>
      <w:numFmt w:val="bullet"/>
      <w:lvlText w:val=""/>
      <w:lvlJc w:val="left"/>
      <w:pPr>
        <w:tabs>
          <w:tab w:val="num" w:pos="2880"/>
        </w:tabs>
        <w:ind w:left="2880" w:hanging="360"/>
      </w:pPr>
      <w:rPr>
        <w:rFonts w:ascii="Symbol" w:hAnsi="Symbol"/>
      </w:rPr>
    </w:lvl>
    <w:lvl w:ilvl="4" w:tplc="CAFCB78C">
      <w:start w:val="1"/>
      <w:numFmt w:val="bullet"/>
      <w:lvlText w:val="o"/>
      <w:lvlJc w:val="left"/>
      <w:pPr>
        <w:tabs>
          <w:tab w:val="num" w:pos="3600"/>
        </w:tabs>
        <w:ind w:left="3600" w:hanging="360"/>
      </w:pPr>
      <w:rPr>
        <w:rFonts w:ascii="Courier New" w:hAnsi="Courier New"/>
      </w:rPr>
    </w:lvl>
    <w:lvl w:ilvl="5" w:tplc="EBBE97D6">
      <w:start w:val="1"/>
      <w:numFmt w:val="bullet"/>
      <w:lvlText w:val=""/>
      <w:lvlJc w:val="left"/>
      <w:pPr>
        <w:tabs>
          <w:tab w:val="num" w:pos="4320"/>
        </w:tabs>
        <w:ind w:left="4320" w:hanging="360"/>
      </w:pPr>
      <w:rPr>
        <w:rFonts w:ascii="Wingdings" w:hAnsi="Wingdings"/>
      </w:rPr>
    </w:lvl>
    <w:lvl w:ilvl="6" w:tplc="51F6B4EA">
      <w:start w:val="1"/>
      <w:numFmt w:val="bullet"/>
      <w:lvlText w:val=""/>
      <w:lvlJc w:val="left"/>
      <w:pPr>
        <w:tabs>
          <w:tab w:val="num" w:pos="5040"/>
        </w:tabs>
        <w:ind w:left="5040" w:hanging="360"/>
      </w:pPr>
      <w:rPr>
        <w:rFonts w:ascii="Symbol" w:hAnsi="Symbol"/>
      </w:rPr>
    </w:lvl>
    <w:lvl w:ilvl="7" w:tplc="2DEE5B32">
      <w:start w:val="1"/>
      <w:numFmt w:val="bullet"/>
      <w:lvlText w:val="o"/>
      <w:lvlJc w:val="left"/>
      <w:pPr>
        <w:tabs>
          <w:tab w:val="num" w:pos="5760"/>
        </w:tabs>
        <w:ind w:left="5760" w:hanging="360"/>
      </w:pPr>
      <w:rPr>
        <w:rFonts w:ascii="Courier New" w:hAnsi="Courier New"/>
      </w:rPr>
    </w:lvl>
    <w:lvl w:ilvl="8" w:tplc="EE9441B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3846397"/>
    <w:multiLevelType w:val="hybridMultilevel"/>
    <w:tmpl w:val="BE5C5F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71"/>
    <w:rsid w:val="00175771"/>
    <w:rsid w:val="002B7EAF"/>
    <w:rsid w:val="00523FD9"/>
    <w:rsid w:val="00A60A3B"/>
    <w:rsid w:val="00D318AA"/>
    <w:rsid w:val="00F7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FBEA"/>
  <w15:docId w15:val="{3E5A5356-B485-48A9-9C63-93E6364C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F7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CIP.apta.org" TargetMode="External"/><Relationship Id="rId3" Type="http://schemas.openxmlformats.org/officeDocument/2006/relationships/settings" Target="settings.xml"/><Relationship Id="rId7" Type="http://schemas.openxmlformats.org/officeDocument/2006/relationships/hyperlink" Target="https://www.msj.edu/academics/graduate-programs/doctor-of-physical-therapy/dpt-curriculum/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ebra.belcher@sinclair.edu" TargetMode="External"/><Relationship Id="rId4" Type="http://schemas.openxmlformats.org/officeDocument/2006/relationships/webSettings" Target="webSettings.xml"/><Relationship Id="rId9" Type="http://schemas.openxmlformats.org/officeDocument/2006/relationships/hyperlink" Target="mailto:Erin.Hofmeyer@m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4056</Characters>
  <Application>Microsoft Office Word</Application>
  <DocSecurity>4</DocSecurity>
  <Lines>122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Tolbert, Julie [School of Health Sciences]</dc:creator>
  <cp:lastModifiedBy>Tolbert, Julie [School of Health Sciences]</cp:lastModifiedBy>
  <cp:revision>2</cp:revision>
  <dcterms:created xsi:type="dcterms:W3CDTF">2023-08-04T11:55:00Z</dcterms:created>
  <dcterms:modified xsi:type="dcterms:W3CDTF">2023-08-04T11:55:00Z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91d951ba6cda142a2624291fb4c949bdcc11a85734ca6b9be9ad30609f2fe8ff</vt:lpwstr>
  </property>
</Properties>
</file>